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4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00"/>
      </w:tblGrid>
      <w:tr w:rsidR="008321FE" w14:paraId="5EA2C77A" w14:textId="77777777">
        <w:tc>
          <w:tcPr>
            <w:tcW w:w="11400" w:type="dxa"/>
            <w:shd w:val="clear" w:color="auto" w:fill="0B3556"/>
            <w:tcMar>
              <w:top w:w="220" w:type="dxa"/>
              <w:left w:w="420" w:type="dxa"/>
              <w:bottom w:w="220" w:type="dxa"/>
              <w:right w:w="420" w:type="dxa"/>
            </w:tcMar>
          </w:tcPr>
          <w:p w14:paraId="3BCAD447" w14:textId="77777777" w:rsidR="008321FE" w:rsidRDefault="00000000">
            <w:pPr>
              <w:spacing w:after="90"/>
            </w:pPr>
            <w:r>
              <w:rPr>
                <w:b/>
                <w:bCs/>
                <w:color w:val="9FC7E8"/>
                <w:spacing w:val="24"/>
                <w:sz w:val="18"/>
                <w:szCs w:val="18"/>
              </w:rPr>
              <w:t>ADSRCM   |   CLIENT SUCCESS STORY</w:t>
            </w:r>
          </w:p>
          <w:p w14:paraId="6F3E8992" w14:textId="77777777" w:rsidR="008321FE" w:rsidRDefault="00000000">
            <w:pPr>
              <w:spacing w:after="70"/>
            </w:pPr>
            <w:r>
              <w:rPr>
                <w:b/>
                <w:bCs/>
                <w:color w:val="FFFFFF"/>
                <w:sz w:val="44"/>
                <w:szCs w:val="44"/>
              </w:rPr>
              <w:t>From In-House Billing to Full-Service RCM</w:t>
            </w:r>
          </w:p>
          <w:p w14:paraId="4D30A7D0" w14:textId="77777777" w:rsidR="008321FE" w:rsidRDefault="00000000">
            <w:r>
              <w:rPr>
                <w:i/>
                <w:iCs/>
                <w:color w:val="C9DCEE"/>
                <w:sz w:val="23"/>
                <w:szCs w:val="23"/>
              </w:rPr>
              <w:t>How Precision Diagnostics transformed collections, cash flow, and denial management with ADSRCM</w:t>
            </w:r>
          </w:p>
        </w:tc>
      </w:tr>
    </w:tbl>
    <w:p w14:paraId="25CB8942" w14:textId="77777777" w:rsidR="008321FE" w:rsidRDefault="008321FE">
      <w:pPr>
        <w:spacing w:after="90"/>
      </w:pPr>
    </w:p>
    <w:tbl>
      <w:tblPr>
        <w:tblW w:w="114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3800"/>
        <w:gridCol w:w="3800"/>
      </w:tblGrid>
      <w:tr w:rsidR="008321FE" w14:paraId="57126722" w14:textId="77777777">
        <w:tc>
          <w:tcPr>
            <w:tcW w:w="3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C3D8EA"/>
            </w:tcBorders>
            <w:shd w:val="clear" w:color="auto" w:fill="EAF2FA"/>
            <w:tcMar>
              <w:top w:w="220" w:type="dxa"/>
              <w:left w:w="240" w:type="dxa"/>
              <w:bottom w:w="220" w:type="dxa"/>
              <w:right w:w="240" w:type="dxa"/>
            </w:tcMar>
            <w:vAlign w:val="center"/>
          </w:tcPr>
          <w:p w14:paraId="0C5D7F13" w14:textId="77777777" w:rsidR="008321FE" w:rsidRDefault="00000000">
            <w:pPr>
              <w:spacing w:after="20"/>
              <w:jc w:val="center"/>
            </w:pPr>
            <w:r>
              <w:rPr>
                <w:b/>
                <w:bCs/>
                <w:color w:val="1B75BB"/>
                <w:sz w:val="52"/>
                <w:szCs w:val="52"/>
              </w:rPr>
              <w:t>8%+</w:t>
            </w:r>
          </w:p>
          <w:p w14:paraId="79E0A410" w14:textId="77777777" w:rsidR="008321FE" w:rsidRDefault="00000000">
            <w:pPr>
              <w:jc w:val="center"/>
            </w:pPr>
            <w:r>
              <w:rPr>
                <w:b/>
                <w:bCs/>
                <w:color w:val="0B3556"/>
                <w:sz w:val="19"/>
                <w:szCs w:val="19"/>
              </w:rPr>
              <w:t>Increase in Overall Collections</w:t>
            </w:r>
          </w:p>
        </w:tc>
        <w:tc>
          <w:tcPr>
            <w:tcW w:w="3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4" w:space="0" w:color="C3D8EA"/>
            </w:tcBorders>
            <w:shd w:val="clear" w:color="auto" w:fill="EAF2FA"/>
            <w:tcMar>
              <w:top w:w="220" w:type="dxa"/>
              <w:left w:w="240" w:type="dxa"/>
              <w:bottom w:w="220" w:type="dxa"/>
              <w:right w:w="240" w:type="dxa"/>
            </w:tcMar>
            <w:vAlign w:val="center"/>
          </w:tcPr>
          <w:p w14:paraId="3A02E170" w14:textId="77777777" w:rsidR="008321FE" w:rsidRDefault="00000000">
            <w:pPr>
              <w:spacing w:after="20"/>
              <w:jc w:val="center"/>
            </w:pPr>
            <w:r>
              <w:rPr>
                <w:b/>
                <w:bCs/>
                <w:color w:val="1B75BB"/>
                <w:sz w:val="52"/>
                <w:szCs w:val="52"/>
              </w:rPr>
              <w:t>21%+</w:t>
            </w:r>
          </w:p>
          <w:p w14:paraId="1B8F679F" w14:textId="77777777" w:rsidR="008321FE" w:rsidRDefault="00000000">
            <w:pPr>
              <w:jc w:val="center"/>
            </w:pPr>
            <w:r>
              <w:rPr>
                <w:b/>
                <w:bCs/>
                <w:color w:val="0B3556"/>
                <w:sz w:val="19"/>
                <w:szCs w:val="19"/>
              </w:rPr>
              <w:t>More Claims Paid on First Submission</w:t>
            </w:r>
          </w:p>
        </w:tc>
        <w:tc>
          <w:tcPr>
            <w:tcW w:w="3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2FA"/>
            <w:tcMar>
              <w:top w:w="220" w:type="dxa"/>
              <w:left w:w="240" w:type="dxa"/>
              <w:bottom w:w="220" w:type="dxa"/>
              <w:right w:w="240" w:type="dxa"/>
            </w:tcMar>
            <w:vAlign w:val="center"/>
          </w:tcPr>
          <w:p w14:paraId="678701BF" w14:textId="77777777" w:rsidR="008321FE" w:rsidRDefault="00000000">
            <w:pPr>
              <w:spacing w:after="20"/>
              <w:jc w:val="center"/>
            </w:pPr>
            <w:r>
              <w:rPr>
                <w:b/>
                <w:bCs/>
                <w:color w:val="1B75BB"/>
                <w:sz w:val="52"/>
                <w:szCs w:val="52"/>
              </w:rPr>
              <w:t>38%</w:t>
            </w:r>
          </w:p>
          <w:p w14:paraId="415AE510" w14:textId="77777777" w:rsidR="008321FE" w:rsidRDefault="00000000">
            <w:pPr>
              <w:jc w:val="center"/>
            </w:pPr>
            <w:r>
              <w:rPr>
                <w:b/>
                <w:bCs/>
                <w:color w:val="0B3556"/>
                <w:sz w:val="19"/>
                <w:szCs w:val="19"/>
              </w:rPr>
              <w:t>Reduction in AR Over 90 Days</w:t>
            </w:r>
          </w:p>
        </w:tc>
      </w:tr>
    </w:tbl>
    <w:p w14:paraId="780B78C3" w14:textId="77777777" w:rsidR="008321FE" w:rsidRDefault="008321FE">
      <w:pPr>
        <w:spacing w:after="90"/>
      </w:pPr>
    </w:p>
    <w:p w14:paraId="6B24C2E1" w14:textId="77777777" w:rsidR="008321FE" w:rsidRDefault="00000000">
      <w:pPr>
        <w:spacing w:line="300" w:lineRule="auto"/>
      </w:pPr>
      <w:r>
        <w:rPr>
          <w:color w:val="0B3556"/>
        </w:rPr>
        <w:t>Precision Diagnostics is a clinical toxicology and drug-testing laboratory operating from California and Massachusetts, processing specimens referred by healthcare providers across all 50 states.</w:t>
      </w:r>
    </w:p>
    <w:p w14:paraId="7C551D42" w14:textId="77777777" w:rsidR="008321FE" w:rsidRDefault="008321FE">
      <w:pPr>
        <w:spacing w:after="70"/>
      </w:pPr>
    </w:p>
    <w:tbl>
      <w:tblPr>
        <w:tblW w:w="114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80"/>
        <w:gridCol w:w="240"/>
        <w:gridCol w:w="5580"/>
      </w:tblGrid>
      <w:tr w:rsidR="008321FE" w14:paraId="3B3388B2" w14:textId="77777777">
        <w:tc>
          <w:tcPr>
            <w:tcW w:w="55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05FFD" w14:textId="77777777" w:rsidR="008321FE" w:rsidRDefault="00000000">
            <w:pPr>
              <w:pBdr>
                <w:bottom w:val="single" w:sz="6" w:space="4" w:color="1B75BB"/>
              </w:pBdr>
              <w:spacing w:before="160" w:after="90"/>
            </w:pPr>
            <w:r>
              <w:rPr>
                <w:b/>
                <w:bCs/>
                <w:color w:val="0B3556"/>
                <w:spacing w:val="12"/>
                <w:sz w:val="23"/>
                <w:szCs w:val="23"/>
              </w:rPr>
              <w:t>THE CHALLENGE</w:t>
            </w:r>
          </w:p>
          <w:p w14:paraId="6E7F6637" w14:textId="77777777" w:rsidR="008321FE" w:rsidRDefault="00000000">
            <w:pPr>
              <w:spacing w:after="75" w:line="262" w:lineRule="auto"/>
              <w:ind w:left="240" w:hanging="200"/>
            </w:pPr>
            <w:r>
              <w:rPr>
                <w:b/>
                <w:bCs/>
                <w:color w:val="1B75BB"/>
                <w:sz w:val="19"/>
                <w:szCs w:val="19"/>
              </w:rPr>
              <w:t xml:space="preserve">•  </w:t>
            </w:r>
            <w:r>
              <w:rPr>
                <w:color w:val="1A1A1A"/>
                <w:sz w:val="19"/>
                <w:szCs w:val="19"/>
              </w:rPr>
              <w:t>Inconsistent claim edits across a 50-state footprint led to avoidable denials.</w:t>
            </w:r>
          </w:p>
          <w:p w14:paraId="28814F1B" w14:textId="77777777" w:rsidR="008321FE" w:rsidRDefault="00000000">
            <w:pPr>
              <w:spacing w:after="75" w:line="262" w:lineRule="auto"/>
              <w:ind w:left="240" w:hanging="200"/>
            </w:pPr>
            <w:r>
              <w:rPr>
                <w:b/>
                <w:bCs/>
                <w:color w:val="1B75BB"/>
                <w:sz w:val="19"/>
                <w:szCs w:val="19"/>
              </w:rPr>
              <w:t xml:space="preserve">•  </w:t>
            </w:r>
            <w:r>
              <w:rPr>
                <w:color w:val="1A1A1A"/>
                <w:sz w:val="19"/>
                <w:szCs w:val="19"/>
              </w:rPr>
              <w:t>Denial management was manual and reactive, with little root-cause tracking.</w:t>
            </w:r>
          </w:p>
          <w:p w14:paraId="03C493DB" w14:textId="77777777" w:rsidR="008321FE" w:rsidRDefault="00000000">
            <w:pPr>
              <w:spacing w:after="75" w:line="262" w:lineRule="auto"/>
              <w:ind w:left="240" w:hanging="200"/>
            </w:pPr>
            <w:r>
              <w:rPr>
                <w:b/>
                <w:bCs/>
                <w:color w:val="1B75BB"/>
                <w:sz w:val="19"/>
                <w:szCs w:val="19"/>
              </w:rPr>
              <w:t xml:space="preserve">•  </w:t>
            </w:r>
            <w:r>
              <w:rPr>
                <w:color w:val="1A1A1A"/>
                <w:sz w:val="19"/>
                <w:szCs w:val="19"/>
              </w:rPr>
              <w:t>Appeals and records retrieval were handled ad hoc, slowing recovery.</w:t>
            </w:r>
          </w:p>
          <w:p w14:paraId="2768F241" w14:textId="77777777" w:rsidR="008321FE" w:rsidRDefault="00000000">
            <w:pPr>
              <w:spacing w:after="75" w:line="262" w:lineRule="auto"/>
              <w:ind w:left="240" w:hanging="200"/>
            </w:pPr>
            <w:r>
              <w:rPr>
                <w:b/>
                <w:bCs/>
                <w:color w:val="1B75BB"/>
                <w:sz w:val="19"/>
                <w:szCs w:val="19"/>
              </w:rPr>
              <w:t xml:space="preserve">•  </w:t>
            </w:r>
            <w:r>
              <w:rPr>
                <w:color w:val="1A1A1A"/>
                <w:sz w:val="19"/>
                <w:szCs w:val="19"/>
              </w:rPr>
              <w:t>AR over 90 days kept climbing, straining cash flow.</w:t>
            </w:r>
          </w:p>
        </w:tc>
        <w:tc>
          <w:tcPr>
            <w:tcW w:w="2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0227C36" w14:textId="77777777" w:rsidR="008321FE" w:rsidRDefault="008321FE"/>
        </w:tc>
        <w:tc>
          <w:tcPr>
            <w:tcW w:w="55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3D9DD" w14:textId="77777777" w:rsidR="008321FE" w:rsidRDefault="00000000">
            <w:pPr>
              <w:pBdr>
                <w:bottom w:val="single" w:sz="6" w:space="4" w:color="1B75BB"/>
              </w:pBdr>
              <w:spacing w:before="160" w:after="90"/>
            </w:pPr>
            <w:r>
              <w:rPr>
                <w:b/>
                <w:bCs/>
                <w:color w:val="0B3556"/>
                <w:spacing w:val="12"/>
                <w:sz w:val="23"/>
                <w:szCs w:val="23"/>
              </w:rPr>
              <w:t>THE ADSRCM SOLUTION</w:t>
            </w:r>
          </w:p>
          <w:p w14:paraId="1CC9E09C" w14:textId="77777777" w:rsidR="008321FE" w:rsidRDefault="00000000">
            <w:pPr>
              <w:spacing w:after="75" w:line="262" w:lineRule="auto"/>
              <w:ind w:left="240" w:hanging="200"/>
            </w:pPr>
            <w:r>
              <w:rPr>
                <w:b/>
                <w:bCs/>
                <w:color w:val="1B75BB"/>
                <w:sz w:val="19"/>
                <w:szCs w:val="19"/>
              </w:rPr>
              <w:t xml:space="preserve">•  </w:t>
            </w:r>
            <w:r>
              <w:rPr>
                <w:color w:val="1A1A1A"/>
                <w:sz w:val="19"/>
                <w:szCs w:val="19"/>
              </w:rPr>
              <w:t xml:space="preserve">Automated rules engine scrubs </w:t>
            </w:r>
            <w:proofErr w:type="gramStart"/>
            <w:r>
              <w:rPr>
                <w:color w:val="1A1A1A"/>
                <w:sz w:val="19"/>
                <w:szCs w:val="19"/>
              </w:rPr>
              <w:t>claims</w:t>
            </w:r>
            <w:proofErr w:type="gramEnd"/>
            <w:r>
              <w:rPr>
                <w:color w:val="1A1A1A"/>
                <w:sz w:val="19"/>
                <w:szCs w:val="19"/>
              </w:rPr>
              <w:t xml:space="preserve"> against payer edits before submission.</w:t>
            </w:r>
          </w:p>
          <w:p w14:paraId="07BA8310" w14:textId="77777777" w:rsidR="008321FE" w:rsidRDefault="00000000">
            <w:pPr>
              <w:spacing w:after="75" w:line="262" w:lineRule="auto"/>
              <w:ind w:left="240" w:hanging="200"/>
            </w:pPr>
            <w:r>
              <w:rPr>
                <w:b/>
                <w:bCs/>
                <w:color w:val="1B75BB"/>
                <w:sz w:val="19"/>
                <w:szCs w:val="19"/>
              </w:rPr>
              <w:t xml:space="preserve">•  </w:t>
            </w:r>
            <w:r>
              <w:rPr>
                <w:color w:val="1A1A1A"/>
                <w:sz w:val="19"/>
                <w:szCs w:val="19"/>
              </w:rPr>
              <w:t>AI-assisted denial prevention flags high-risk claims and recurring patterns.</w:t>
            </w:r>
          </w:p>
          <w:p w14:paraId="1942ADBE" w14:textId="77777777" w:rsidR="008321FE" w:rsidRDefault="00000000">
            <w:pPr>
              <w:spacing w:after="75" w:line="262" w:lineRule="auto"/>
              <w:ind w:left="240" w:hanging="200"/>
            </w:pPr>
            <w:r>
              <w:rPr>
                <w:b/>
                <w:bCs/>
                <w:color w:val="1B75BB"/>
                <w:sz w:val="19"/>
                <w:szCs w:val="19"/>
              </w:rPr>
              <w:t xml:space="preserve">•  </w:t>
            </w:r>
            <w:r>
              <w:rPr>
                <w:color w:val="1A1A1A"/>
                <w:sz w:val="19"/>
                <w:szCs w:val="19"/>
              </w:rPr>
              <w:t>Automated appeals and records-retrieval workflows recover revenue faster.</w:t>
            </w:r>
          </w:p>
          <w:p w14:paraId="2E101CF4" w14:textId="77777777" w:rsidR="008321FE" w:rsidRDefault="00000000">
            <w:pPr>
              <w:spacing w:after="75" w:line="262" w:lineRule="auto"/>
              <w:ind w:left="240" w:hanging="200"/>
            </w:pPr>
            <w:r>
              <w:rPr>
                <w:b/>
                <w:bCs/>
                <w:color w:val="1B75BB"/>
                <w:sz w:val="19"/>
                <w:szCs w:val="19"/>
              </w:rPr>
              <w:t xml:space="preserve">•  </w:t>
            </w:r>
            <w:r>
              <w:rPr>
                <w:color w:val="1A1A1A"/>
                <w:sz w:val="19"/>
                <w:szCs w:val="19"/>
              </w:rPr>
              <w:t>End-to-end redesign of the billing lifecycle, built for nationwide, multi-payer volume.</w:t>
            </w:r>
          </w:p>
        </w:tc>
      </w:tr>
    </w:tbl>
    <w:p w14:paraId="430FD627" w14:textId="77777777" w:rsidR="008321FE" w:rsidRDefault="00000000">
      <w:pPr>
        <w:pBdr>
          <w:bottom w:val="single" w:sz="6" w:space="4" w:color="1B75BB"/>
        </w:pBdr>
        <w:spacing w:before="160" w:after="90"/>
      </w:pPr>
      <w:r>
        <w:rPr>
          <w:b/>
          <w:bCs/>
          <w:color w:val="0B3556"/>
          <w:spacing w:val="12"/>
          <w:sz w:val="23"/>
          <w:szCs w:val="23"/>
        </w:rPr>
        <w:t>THE RESULTS</w:t>
      </w:r>
    </w:p>
    <w:p w14:paraId="51976691" w14:textId="77777777" w:rsidR="008321FE" w:rsidRDefault="00000000">
      <w:pPr>
        <w:spacing w:after="60" w:line="280" w:lineRule="auto"/>
      </w:pPr>
      <w:r>
        <w:rPr>
          <w:color w:val="1A1A1A"/>
        </w:rPr>
        <w:t>Since transitioning from in-house billing to ADSRCM's outsourced RCM services, Precision Diagnostics has seen measurable, sustained improvement across collections, first-pass resolution, and aging AR — with denials now largely prevented before submission rather than reworked after the fact.</w:t>
      </w:r>
    </w:p>
    <w:p w14:paraId="38469EB2" w14:textId="77777777" w:rsidR="008321FE" w:rsidRDefault="008321FE">
      <w:pPr>
        <w:spacing w:after="90"/>
      </w:pPr>
    </w:p>
    <w:tbl>
      <w:tblPr>
        <w:tblW w:w="114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0"/>
        <w:gridCol w:w="5700"/>
      </w:tblGrid>
      <w:tr w:rsidR="008321FE" w14:paraId="35C2CB28" w14:textId="77777777">
        <w:trPr>
          <w:cantSplit/>
        </w:trPr>
        <w:tc>
          <w:tcPr>
            <w:tcW w:w="5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B3556"/>
            <w:tcMar>
              <w:top w:w="220" w:type="dxa"/>
              <w:left w:w="420" w:type="dxa"/>
              <w:bottom w:w="220" w:type="dxa"/>
              <w:right w:w="420" w:type="dxa"/>
            </w:tcMar>
          </w:tcPr>
          <w:p w14:paraId="0842DA39" w14:textId="77777777" w:rsidR="008321FE" w:rsidRDefault="00000000">
            <w:pPr>
              <w:spacing w:after="150" w:line="290" w:lineRule="auto"/>
            </w:pPr>
            <w:r>
              <w:rPr>
                <w:i/>
                <w:iCs/>
                <w:color w:val="E7F0F9"/>
                <w:sz w:val="21"/>
                <w:szCs w:val="21"/>
              </w:rPr>
              <w:t>“Our test menu and payer mix haven’t changed. What changed is our workflow. With ADSRCM, we’re now collecting more than 8% more on the exact same charges, and our cash flow has improved significantly as a result.”</w:t>
            </w:r>
          </w:p>
          <w:p w14:paraId="07BA8218" w14:textId="77777777" w:rsidR="008321FE" w:rsidRDefault="00000000">
            <w:pPr>
              <w:spacing w:after="20"/>
            </w:pPr>
            <w:r>
              <w:rPr>
                <w:b/>
                <w:bCs/>
                <w:color w:val="FFFFFF"/>
                <w:sz w:val="21"/>
                <w:szCs w:val="21"/>
              </w:rPr>
              <w:t>CJ Driscoll</w:t>
            </w:r>
          </w:p>
          <w:p w14:paraId="191D8DD7" w14:textId="77777777" w:rsidR="008321FE" w:rsidRDefault="00000000">
            <w:r>
              <w:rPr>
                <w:color w:val="AFC9E2"/>
                <w:sz w:val="17"/>
                <w:szCs w:val="17"/>
              </w:rPr>
              <w:t>Chief Financial Officer, Precision Diagnostics</w:t>
            </w:r>
          </w:p>
        </w:tc>
        <w:tc>
          <w:tcPr>
            <w:tcW w:w="5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AF2FA"/>
            <w:tcMar>
              <w:top w:w="220" w:type="dxa"/>
              <w:left w:w="420" w:type="dxa"/>
              <w:bottom w:w="220" w:type="dxa"/>
              <w:right w:w="420" w:type="dxa"/>
            </w:tcMar>
          </w:tcPr>
          <w:p w14:paraId="1DD730A6" w14:textId="77777777" w:rsidR="008321FE" w:rsidRDefault="00000000">
            <w:pPr>
              <w:spacing w:after="150" w:line="290" w:lineRule="auto"/>
            </w:pPr>
            <w:r>
              <w:rPr>
                <w:i/>
                <w:iCs/>
                <w:color w:val="0B3556"/>
                <w:sz w:val="21"/>
                <w:szCs w:val="21"/>
              </w:rPr>
              <w:t>“Our volume is national, and our billing needs to be handled that way. ADSRCM brought the payer-by-payer, state-by-state expertise it takes to get a lab our size paid correctly and on time.”</w:t>
            </w:r>
          </w:p>
          <w:p w14:paraId="637204FA" w14:textId="77777777" w:rsidR="008321FE" w:rsidRDefault="00000000">
            <w:pPr>
              <w:spacing w:after="20"/>
            </w:pPr>
            <w:r>
              <w:rPr>
                <w:b/>
                <w:bCs/>
                <w:color w:val="0B3556"/>
                <w:sz w:val="21"/>
                <w:szCs w:val="21"/>
              </w:rPr>
              <w:t>Miguel Gallego</w:t>
            </w:r>
          </w:p>
          <w:p w14:paraId="2835DF43" w14:textId="77777777" w:rsidR="008321FE" w:rsidRDefault="00000000">
            <w:r>
              <w:rPr>
                <w:color w:val="5A7A99"/>
                <w:sz w:val="17"/>
                <w:szCs w:val="17"/>
              </w:rPr>
              <w:t>Chief Executive Officer, Precision Diagnostics</w:t>
            </w:r>
          </w:p>
        </w:tc>
      </w:tr>
    </w:tbl>
    <w:p w14:paraId="0CF891C1" w14:textId="77777777" w:rsidR="008321FE" w:rsidRDefault="008321FE">
      <w:pPr>
        <w:spacing w:after="70"/>
      </w:pPr>
    </w:p>
    <w:tbl>
      <w:tblPr>
        <w:tblW w:w="114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90"/>
        <w:gridCol w:w="2410"/>
      </w:tblGrid>
      <w:tr w:rsidR="008321FE" w14:paraId="345DB4F1" w14:textId="77777777">
        <w:trPr>
          <w:cantSplit/>
        </w:trPr>
        <w:tc>
          <w:tcPr>
            <w:tcW w:w="9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75BB"/>
            <w:tcMar>
              <w:top w:w="110" w:type="dxa"/>
              <w:left w:w="420" w:type="dxa"/>
              <w:bottom w:w="110" w:type="dxa"/>
              <w:right w:w="240" w:type="dxa"/>
            </w:tcMar>
            <w:vAlign w:val="center"/>
          </w:tcPr>
          <w:p w14:paraId="36FC52E2" w14:textId="77777777" w:rsidR="008321FE" w:rsidRDefault="00000000">
            <w:pPr>
              <w:spacing w:after="90" w:line="300" w:lineRule="auto"/>
            </w:pPr>
            <w:r>
              <w:rPr>
                <w:b/>
                <w:bCs/>
                <w:color w:val="FFFFFF"/>
                <w:sz w:val="25"/>
                <w:szCs w:val="25"/>
              </w:rPr>
              <w:t>Your denial rate is no secret. What's fixable is.</w:t>
            </w:r>
          </w:p>
          <w:p w14:paraId="090483AB" w14:textId="77777777" w:rsidR="008321FE" w:rsidRDefault="00000000">
            <w:pPr>
              <w:spacing w:line="300" w:lineRule="auto"/>
            </w:pPr>
            <w:r>
              <w:rPr>
                <w:color w:val="DCEBF7"/>
                <w:sz w:val="19"/>
                <w:szCs w:val="19"/>
              </w:rPr>
              <w:t>30 minutes with our lab denial team. They'll review your last 90 days of denials and show you what's worth fixing.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75BB"/>
            <w:tcMar>
              <w:top w:w="110" w:type="dxa"/>
              <w:left w:w="100" w:type="dxa"/>
              <w:bottom w:w="110" w:type="dxa"/>
              <w:right w:w="260" w:type="dxa"/>
            </w:tcMar>
            <w:vAlign w:val="center"/>
          </w:tcPr>
          <w:tbl>
            <w:tblPr>
              <w:tblW w:w="2040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40"/>
            </w:tblGrid>
            <w:tr w:rsidR="008321FE" w14:paraId="4E700395" w14:textId="77777777">
              <w:tc>
                <w:tcPr>
                  <w:tcW w:w="2040" w:type="dxa"/>
                  <w:shd w:val="clear" w:color="auto" w:fill="FFFFFF"/>
                  <w:tcMar>
                    <w:top w:w="200" w:type="dxa"/>
                    <w:left w:w="100" w:type="dxa"/>
                    <w:bottom w:w="200" w:type="dxa"/>
                    <w:right w:w="100" w:type="dxa"/>
                  </w:tcMar>
                  <w:vAlign w:val="center"/>
                </w:tcPr>
                <w:p w14:paraId="0D3BE940" w14:textId="77777777" w:rsidR="008321FE" w:rsidRDefault="00000000">
                  <w:pPr>
                    <w:jc w:val="center"/>
                  </w:pPr>
                  <w:r>
                    <w:rPr>
                      <w:b/>
                      <w:bCs/>
                      <w:color w:val="1B75BB"/>
                      <w:sz w:val="18"/>
                      <w:szCs w:val="18"/>
                    </w:rPr>
                    <w:t>GET YOUR FREE ANALYSIS</w:t>
                  </w:r>
                </w:p>
              </w:tc>
            </w:tr>
          </w:tbl>
          <w:p w14:paraId="3A4641F9" w14:textId="77777777" w:rsidR="008321FE" w:rsidRDefault="008321FE"/>
        </w:tc>
      </w:tr>
    </w:tbl>
    <w:p w14:paraId="09F33FF8" w14:textId="77777777" w:rsidR="008321FE" w:rsidRDefault="008321FE">
      <w:pPr>
        <w:pBdr>
          <w:top w:val="single" w:sz="4" w:space="4" w:color="D9E2EA"/>
        </w:pBdr>
        <w:spacing w:before="50" w:after="50"/>
      </w:pPr>
    </w:p>
    <w:p w14:paraId="53E9CC55" w14:textId="77777777" w:rsidR="008321FE" w:rsidRDefault="00000000">
      <w:pPr>
        <w:spacing w:after="20"/>
        <w:jc w:val="center"/>
      </w:pPr>
      <w:r>
        <w:rPr>
          <w:b/>
          <w:bCs/>
          <w:color w:val="6B7280"/>
          <w:sz w:val="15"/>
          <w:szCs w:val="15"/>
        </w:rPr>
        <w:t xml:space="preserve">Advanced Data Systems </w:t>
      </w:r>
      <w:proofErr w:type="gramStart"/>
      <w:r>
        <w:rPr>
          <w:b/>
          <w:bCs/>
          <w:color w:val="6B7280"/>
          <w:sz w:val="15"/>
          <w:szCs w:val="15"/>
        </w:rPr>
        <w:t>Corporation  ·</w:t>
      </w:r>
      <w:proofErr w:type="gramEnd"/>
      <w:r>
        <w:rPr>
          <w:b/>
          <w:bCs/>
          <w:color w:val="6B7280"/>
          <w:sz w:val="15"/>
          <w:szCs w:val="15"/>
        </w:rPr>
        <w:t xml:space="preserve">  </w:t>
      </w:r>
      <w:proofErr w:type="gramStart"/>
      <w:r>
        <w:rPr>
          <w:b/>
          <w:bCs/>
          <w:color w:val="6B7280"/>
          <w:sz w:val="15"/>
          <w:szCs w:val="15"/>
        </w:rPr>
        <w:t>ADSRCM  ·</w:t>
      </w:r>
      <w:proofErr w:type="gramEnd"/>
      <w:r>
        <w:rPr>
          <w:b/>
          <w:bCs/>
          <w:color w:val="6B7280"/>
          <w:sz w:val="15"/>
          <w:szCs w:val="15"/>
        </w:rPr>
        <w:t xml:space="preserve">  1-800-899-4237 </w:t>
      </w:r>
      <w:proofErr w:type="spellStart"/>
      <w:r>
        <w:rPr>
          <w:b/>
          <w:bCs/>
          <w:color w:val="6B7280"/>
          <w:sz w:val="15"/>
          <w:szCs w:val="15"/>
        </w:rPr>
        <w:t>ext</w:t>
      </w:r>
      <w:proofErr w:type="spellEnd"/>
      <w:r>
        <w:rPr>
          <w:b/>
          <w:bCs/>
          <w:color w:val="6B7280"/>
          <w:sz w:val="15"/>
          <w:szCs w:val="15"/>
        </w:rPr>
        <w:t xml:space="preserve"> </w:t>
      </w:r>
      <w:proofErr w:type="gramStart"/>
      <w:r>
        <w:rPr>
          <w:b/>
          <w:bCs/>
          <w:color w:val="6B7280"/>
          <w:sz w:val="15"/>
          <w:szCs w:val="15"/>
        </w:rPr>
        <w:t>2264  ·</w:t>
      </w:r>
      <w:proofErr w:type="gramEnd"/>
      <w:r>
        <w:rPr>
          <w:b/>
          <w:bCs/>
          <w:color w:val="6B7280"/>
          <w:sz w:val="15"/>
          <w:szCs w:val="15"/>
        </w:rPr>
        <w:t xml:space="preserve">  </w:t>
      </w:r>
      <w:proofErr w:type="gramStart"/>
      <w:r>
        <w:rPr>
          <w:b/>
          <w:bCs/>
          <w:color w:val="6B7280"/>
          <w:sz w:val="15"/>
          <w:szCs w:val="15"/>
        </w:rPr>
        <w:t>rcminfo@adsc.com  ·</w:t>
      </w:r>
      <w:proofErr w:type="gramEnd"/>
      <w:r>
        <w:rPr>
          <w:b/>
          <w:bCs/>
          <w:color w:val="6B7280"/>
          <w:sz w:val="15"/>
          <w:szCs w:val="15"/>
        </w:rPr>
        <w:t xml:space="preserve">  adsc.com</w:t>
      </w:r>
    </w:p>
    <w:p w14:paraId="4B50BE68" w14:textId="77777777" w:rsidR="008321FE" w:rsidRDefault="00000000">
      <w:pPr>
        <w:jc w:val="center"/>
      </w:pPr>
      <w:r>
        <w:rPr>
          <w:i/>
          <w:iCs/>
          <w:color w:val="6B7280"/>
          <w:sz w:val="14"/>
          <w:szCs w:val="14"/>
        </w:rPr>
        <w:t>Figures supplied by Precision Diagnostics and ADSRCM. Published with permission.</w:t>
      </w:r>
    </w:p>
    <w:p w14:paraId="73A57A57" w14:textId="77777777" w:rsidR="008321FE" w:rsidRDefault="00000000">
      <w:pPr>
        <w:jc w:val="center"/>
      </w:pPr>
      <w:r>
        <w:rPr>
          <w:i/>
          <w:iCs/>
          <w:color w:val="6B7280"/>
          <w:sz w:val="12"/>
          <w:szCs w:val="12"/>
        </w:rPr>
        <w:t>Results reflect performance improvements experienced by this client following transition to ADSRCM's outsourced RCM services. Individual results may vary by specialty, payer mix, and billing infrastructure.</w:t>
      </w:r>
    </w:p>
    <w:sectPr w:rsidR="008321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20" w:right="420" w:bottom="420" w:left="4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FED6C" w14:textId="77777777" w:rsidR="00B2538B" w:rsidRDefault="00B2538B" w:rsidP="00EA1825">
      <w:r>
        <w:separator/>
      </w:r>
    </w:p>
  </w:endnote>
  <w:endnote w:type="continuationSeparator" w:id="0">
    <w:p w14:paraId="6756E8C4" w14:textId="77777777" w:rsidR="00B2538B" w:rsidRDefault="00B2538B" w:rsidP="00EA1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16AEA" w14:textId="77777777" w:rsidR="00EA1825" w:rsidRDefault="00EA18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FBE03" w14:textId="77777777" w:rsidR="00EA1825" w:rsidRDefault="00EA18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68D52" w14:textId="77777777" w:rsidR="00EA1825" w:rsidRDefault="00EA18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6F413" w14:textId="77777777" w:rsidR="00B2538B" w:rsidRDefault="00B2538B" w:rsidP="00EA1825">
      <w:r>
        <w:separator/>
      </w:r>
    </w:p>
  </w:footnote>
  <w:footnote w:type="continuationSeparator" w:id="0">
    <w:p w14:paraId="07F5FBA7" w14:textId="77777777" w:rsidR="00B2538B" w:rsidRDefault="00B2538B" w:rsidP="00EA1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92AFC" w14:textId="77777777" w:rsidR="00EA1825" w:rsidRDefault="00EA18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0C157" w14:textId="77777777" w:rsidR="00EA1825" w:rsidRDefault="00EA18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9E1BD" w14:textId="77777777" w:rsidR="00EA1825" w:rsidRDefault="00EA18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266DE"/>
    <w:multiLevelType w:val="hybridMultilevel"/>
    <w:tmpl w:val="2F983698"/>
    <w:lvl w:ilvl="0" w:tplc="F766880C">
      <w:start w:val="1"/>
      <w:numFmt w:val="bullet"/>
      <w:lvlText w:val="●"/>
      <w:lvlJc w:val="left"/>
      <w:pPr>
        <w:ind w:left="720" w:hanging="360"/>
      </w:pPr>
    </w:lvl>
    <w:lvl w:ilvl="1" w:tplc="DFD0E520">
      <w:start w:val="1"/>
      <w:numFmt w:val="bullet"/>
      <w:lvlText w:val="○"/>
      <w:lvlJc w:val="left"/>
      <w:pPr>
        <w:ind w:left="1440" w:hanging="360"/>
      </w:pPr>
    </w:lvl>
    <w:lvl w:ilvl="2" w:tplc="A96E65DC">
      <w:start w:val="1"/>
      <w:numFmt w:val="bullet"/>
      <w:lvlText w:val="■"/>
      <w:lvlJc w:val="left"/>
      <w:pPr>
        <w:ind w:left="2160" w:hanging="360"/>
      </w:pPr>
    </w:lvl>
    <w:lvl w:ilvl="3" w:tplc="0A94189C">
      <w:start w:val="1"/>
      <w:numFmt w:val="bullet"/>
      <w:lvlText w:val="●"/>
      <w:lvlJc w:val="left"/>
      <w:pPr>
        <w:ind w:left="2880" w:hanging="360"/>
      </w:pPr>
    </w:lvl>
    <w:lvl w:ilvl="4" w:tplc="6CDE053C">
      <w:start w:val="1"/>
      <w:numFmt w:val="bullet"/>
      <w:lvlText w:val="○"/>
      <w:lvlJc w:val="left"/>
      <w:pPr>
        <w:ind w:left="3600" w:hanging="360"/>
      </w:pPr>
    </w:lvl>
    <w:lvl w:ilvl="5" w:tplc="39B410AE">
      <w:start w:val="1"/>
      <w:numFmt w:val="bullet"/>
      <w:lvlText w:val="■"/>
      <w:lvlJc w:val="left"/>
      <w:pPr>
        <w:ind w:left="4320" w:hanging="360"/>
      </w:pPr>
    </w:lvl>
    <w:lvl w:ilvl="6" w:tplc="5232A04A">
      <w:start w:val="1"/>
      <w:numFmt w:val="bullet"/>
      <w:lvlText w:val="●"/>
      <w:lvlJc w:val="left"/>
      <w:pPr>
        <w:ind w:left="5040" w:hanging="360"/>
      </w:pPr>
    </w:lvl>
    <w:lvl w:ilvl="7" w:tplc="D680A188">
      <w:start w:val="1"/>
      <w:numFmt w:val="bullet"/>
      <w:lvlText w:val="●"/>
      <w:lvlJc w:val="left"/>
      <w:pPr>
        <w:ind w:left="5760" w:hanging="360"/>
      </w:pPr>
    </w:lvl>
    <w:lvl w:ilvl="8" w:tplc="4B56A5B6">
      <w:start w:val="1"/>
      <w:numFmt w:val="bullet"/>
      <w:lvlText w:val="●"/>
      <w:lvlJc w:val="left"/>
      <w:pPr>
        <w:ind w:left="6480" w:hanging="360"/>
      </w:pPr>
    </w:lvl>
  </w:abstractNum>
  <w:num w:numId="1" w16cid:durableId="11826290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1FE"/>
    <w:rsid w:val="00322C05"/>
    <w:rsid w:val="008321FE"/>
    <w:rsid w:val="008E18CA"/>
    <w:rsid w:val="00B2538B"/>
    <w:rsid w:val="00CC153B"/>
    <w:rsid w:val="00EA1825"/>
    <w:rsid w:val="00EC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7B8A6"/>
  <w15:docId w15:val="{235356C9-3A7F-43E2-8269-2D4B016E0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A18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1825"/>
  </w:style>
  <w:style w:type="paragraph" w:styleId="Footer">
    <w:name w:val="footer"/>
    <w:basedOn w:val="Normal"/>
    <w:link w:val="FooterChar"/>
    <w:uiPriority w:val="99"/>
    <w:unhideWhenUsed/>
    <w:rsid w:val="00EA18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1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2176</Characters>
  <Application>Microsoft Office Word</Application>
  <DocSecurity>0</DocSecurity>
  <Lines>25</Lines>
  <Paragraphs>8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Sheryl Miller</cp:lastModifiedBy>
  <cp:revision>2</cp:revision>
  <dcterms:created xsi:type="dcterms:W3CDTF">2026-08-17T18:10:00Z</dcterms:created>
  <dcterms:modified xsi:type="dcterms:W3CDTF">2026-08-17T18:10:00Z</dcterms:modified>
</cp:coreProperties>
</file>